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NOAA: Earth System Research Laboratory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Name__________________________</w:t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72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 Collection</w:t>
        <w:tab/>
        <w:tab/>
        <w:tab/>
        <w:tab/>
      </w:r>
      <w:r w:rsidDel="00000000" w:rsidR="00000000" w:rsidRPr="00000000">
        <w:rPr>
          <w:rtl w:val="0"/>
        </w:rPr>
        <w:t xml:space="preserve">Date___________________Per_____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Instructions:</w:t>
      </w:r>
      <w:r w:rsidDel="00000000" w:rsidR="00000000" w:rsidRPr="00000000">
        <w:rPr>
          <w:rtl w:val="0"/>
        </w:rPr>
        <w:t xml:space="preserve">  This website represents the data collection from around the globe.  It provides the best possible information on atmospheric constituents that drive climate change, stratospheric ozone depletion, and baseline air quality.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ab/>
        <w:t xml:space="preserve">Link: 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http://www.esrl.noaa.gov/gmd/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There are 6 large observatories, listed below.  After clicking on each observatory and reading information about it, answer the following: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Barrow Observatory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(be as specific as possible —coordinates not necessary):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Why is this location important to study?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Trinidad Head Observatory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(be as specific as possible —coordinates not necessary):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Why is this location important to study?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Mauna Loa Observatory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(be as specific as possible —coordinates not necessary):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Why is this location important to study?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American Somoa Observatory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(be as specific as possible —coordinates not necessary):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Why is this location important to study?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South Pole Observatory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(be as specific as possible—coordinates not necessary):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Why is this location important to study?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Summit Observatory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(be as specific as possible —coordinates not necessary):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Why is this location important to study?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contextualSpacing w:val="0"/>
      <w:rPr>
        <w:rFonts w:ascii="Arial" w:cs="Arial" w:eastAsia="Arial" w:hAnsi="Arial"/>
        <w:b w:val="0"/>
        <w:color w:val="ffffff"/>
        <w:sz w:val="24"/>
        <w:szCs w:val="24"/>
      </w:rPr>
    </w:pPr>
    <w:r w:rsidDel="00000000" w:rsidR="00000000" w:rsidRPr="00000000">
      <w:rPr>
        <w:rFonts w:ascii="Arial" w:cs="Arial" w:eastAsia="Arial" w:hAnsi="Arial"/>
        <w:b w:val="0"/>
        <w:i w:val="1"/>
        <w:sz w:val="20"/>
        <w:szCs w:val="20"/>
        <w:rtl w:val="0"/>
      </w:rPr>
      <w:t xml:space="preserve">Ocean Acidification:  A Systems Approach to a Global Problem</w:t>
    </w:r>
    <w:r w:rsidDel="00000000" w:rsidR="00000000" w:rsidRPr="00000000">
      <w:rPr>
        <w:rFonts w:ascii="Arial" w:cs="Arial" w:eastAsia="Arial" w:hAnsi="Arial"/>
        <w:b w:val="0"/>
        <w:sz w:val="20"/>
        <w:szCs w:val="20"/>
        <w:rtl w:val="0"/>
      </w:rPr>
      <w:t xml:space="preserve">  </w:t>
    </w:r>
    <w:r w:rsidDel="00000000" w:rsidR="00000000" w:rsidRPr="00000000">
      <w:rPr>
        <w:rFonts w:ascii="Arimo" w:cs="Arimo" w:eastAsia="Arimo" w:hAnsi="Arimo"/>
        <w:b w:val="0"/>
        <w:sz w:val="20"/>
        <w:szCs w:val="20"/>
        <w:rtl w:val="0"/>
      </w:rPr>
      <w:t xml:space="preserve">І</w:t>
    </w:r>
    <w:r w:rsidDel="00000000" w:rsidR="00000000" w:rsidRPr="00000000">
      <w:rPr>
        <w:rFonts w:ascii="Arial" w:cs="Arial" w:eastAsia="Arial" w:hAnsi="Arial"/>
        <w:b w:val="0"/>
        <w:sz w:val="20"/>
        <w:szCs w:val="20"/>
        <w:rtl w:val="0"/>
      </w:rPr>
      <w:t xml:space="preserve">  Lesson 5b</w:t>
    </w:r>
    <w:r w:rsidDel="00000000" w:rsidR="00000000" w:rsidRPr="00000000">
      <w:rPr>
        <w:rFonts w:ascii="Arial" w:cs="Arial" w:eastAsia="Arial" w:hAnsi="Arial"/>
        <w:b w:val="0"/>
        <w:color w:val="ffffff"/>
        <w:sz w:val="24"/>
        <w:szCs w:val="24"/>
        <w:rtl w:val="0"/>
      </w:rPr>
      <w:tab/>
    </w:r>
    <w:r w:rsidDel="00000000" w:rsidR="00000000" w:rsidRPr="00000000">
      <w:rPr>
        <w:rFonts w:ascii="Arial" w:cs="Arial" w:eastAsia="Arial" w:hAnsi="Arial"/>
        <w:b w:val="0"/>
        <w:sz w:val="24"/>
        <w:szCs w:val="24"/>
      </w:rPr>
      <w:drawing>
        <wp:inline distB="0" distT="0" distL="0" distR="0">
          <wp:extent cx="1390650" cy="52472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524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contextualSpacing w:val="0"/>
      <w:jc w:val="right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0"/>
        <w:sz w:val="20"/>
        <w:szCs w:val="20"/>
        <w:rtl w:val="0"/>
      </w:rPr>
      <w:t xml:space="preserve">Student Resource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srl.noaa.gov/gmd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