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DF" w:rsidRPr="00C8650C" w:rsidRDefault="00442074" w:rsidP="00C8650C">
      <w:pPr>
        <w:jc w:val="center"/>
        <w:rPr>
          <w:rFonts w:ascii="Arial" w:hAnsi="Arial" w:cs="Arial"/>
          <w:sz w:val="24"/>
        </w:rPr>
      </w:pPr>
      <w:r w:rsidRPr="00C8650C">
        <w:rPr>
          <w:rFonts w:ascii="Arial" w:hAnsi="Arial" w:cs="Arial"/>
          <w:b/>
          <w:sz w:val="24"/>
        </w:rPr>
        <w:t>Environment</w:t>
      </w:r>
      <w:r w:rsidR="00112D3C" w:rsidRPr="00C8650C">
        <w:rPr>
          <w:rFonts w:ascii="Arial" w:hAnsi="Arial" w:cs="Arial"/>
          <w:b/>
          <w:sz w:val="24"/>
        </w:rPr>
        <w:t>al Influence on Gene Networks</w:t>
      </w:r>
      <w:r w:rsidR="00C8650C" w:rsidRPr="00C8650C">
        <w:rPr>
          <w:rFonts w:ascii="Arial" w:hAnsi="Arial" w:cs="Arial"/>
          <w:b/>
          <w:sz w:val="24"/>
        </w:rPr>
        <w:t xml:space="preserve"> - </w:t>
      </w:r>
      <w:r w:rsidRPr="00C8650C">
        <w:rPr>
          <w:rFonts w:ascii="Arial" w:hAnsi="Arial" w:cs="Arial"/>
          <w:b/>
          <w:sz w:val="24"/>
        </w:rPr>
        <w:t>Advanced Prep for the Module</w:t>
      </w:r>
    </w:p>
    <w:p w:rsidR="00FB32DF" w:rsidRPr="00C8650C" w:rsidRDefault="00442074" w:rsidP="00C8650C">
      <w:pPr>
        <w:rPr>
          <w:rFonts w:ascii="Arial" w:hAnsi="Arial" w:cs="Arial"/>
        </w:rPr>
      </w:pPr>
      <w:r w:rsidRPr="00C8650C">
        <w:rPr>
          <w:rFonts w:ascii="Arial" w:hAnsi="Arial" w:cs="Arial"/>
        </w:rPr>
        <w:t>Entry Behaviors</w:t>
      </w:r>
    </w:p>
    <w:p w:rsidR="00FB32DF" w:rsidRPr="00C8650C" w:rsidRDefault="00442074" w:rsidP="00C86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8650C">
        <w:rPr>
          <w:rFonts w:ascii="Arial" w:hAnsi="Arial" w:cs="Arial"/>
        </w:rPr>
        <w:t>Understand how genes and proteins are related.</w:t>
      </w:r>
    </w:p>
    <w:p w:rsidR="00FB32DF" w:rsidRPr="00C8650C" w:rsidRDefault="00442074" w:rsidP="00C86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8650C">
        <w:rPr>
          <w:rFonts w:ascii="Arial" w:hAnsi="Arial" w:cs="Arial"/>
        </w:rPr>
        <w:t>Know specifics of gene transcription and translation.</w:t>
      </w:r>
    </w:p>
    <w:p w:rsidR="00FB32DF" w:rsidRPr="00C8650C" w:rsidRDefault="00442074" w:rsidP="00C865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C8650C">
        <w:rPr>
          <w:rFonts w:ascii="Arial" w:hAnsi="Arial" w:cs="Arial"/>
        </w:rPr>
        <w:t xml:space="preserve">Know the molecule </w:t>
      </w:r>
      <w:proofErr w:type="gramStart"/>
      <w:r w:rsidRPr="00C8650C">
        <w:rPr>
          <w:rFonts w:ascii="Arial" w:hAnsi="Arial" w:cs="Arial"/>
        </w:rPr>
        <w:t>ATP,</w:t>
      </w:r>
      <w:proofErr w:type="gramEnd"/>
      <w:r w:rsidRPr="00C8650C">
        <w:rPr>
          <w:rFonts w:ascii="Arial" w:hAnsi="Arial" w:cs="Arial"/>
        </w:rPr>
        <w:t xml:space="preserve"> be familiar with its use in a cell and its components.</w:t>
      </w:r>
    </w:p>
    <w:p w:rsidR="00112D3C" w:rsidRPr="00C8650C" w:rsidRDefault="00442074" w:rsidP="00C8650C">
      <w:pPr>
        <w:spacing w:before="240" w:after="0"/>
        <w:rPr>
          <w:rFonts w:ascii="Arial" w:hAnsi="Arial" w:cs="Arial"/>
        </w:rPr>
      </w:pPr>
      <w:r w:rsidRPr="00C8650C">
        <w:rPr>
          <w:rFonts w:ascii="Arial" w:hAnsi="Arial" w:cs="Arial"/>
        </w:rPr>
        <w:t>Required Lab Equipment:</w:t>
      </w:r>
    </w:p>
    <w:p w:rsidR="00C9139B" w:rsidRPr="00C9139B" w:rsidRDefault="00112D3C" w:rsidP="00C9139B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C8650C">
        <w:rPr>
          <w:rFonts w:ascii="Arial" w:hAnsi="Arial" w:cs="Arial"/>
        </w:rPr>
        <w:t xml:space="preserve">Spectrophotometer with cuvettes (if you want to look at </w:t>
      </w:r>
      <w:r w:rsidR="00C8650C">
        <w:rPr>
          <w:rFonts w:ascii="Arial" w:hAnsi="Arial" w:cs="Arial"/>
        </w:rPr>
        <w:t xml:space="preserve">quantified </w:t>
      </w:r>
      <w:r w:rsidRPr="00C8650C">
        <w:rPr>
          <w:rFonts w:ascii="Arial" w:hAnsi="Arial" w:cs="Arial"/>
        </w:rPr>
        <w:t>cell growth</w:t>
      </w:r>
      <w:r w:rsidR="00C8650C">
        <w:rPr>
          <w:rFonts w:ascii="Arial" w:hAnsi="Arial" w:cs="Arial"/>
        </w:rPr>
        <w:t>).</w:t>
      </w:r>
    </w:p>
    <w:p w:rsidR="00C8650C" w:rsidRDefault="00C8650C" w:rsidP="00C9139B">
      <w:pPr>
        <w:pStyle w:val="ListParagraph"/>
        <w:numPr>
          <w:ilvl w:val="1"/>
          <w:numId w:val="11"/>
        </w:numPr>
        <w:spacing w:after="0"/>
        <w:ind w:left="180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8650C">
        <w:rPr>
          <w:rFonts w:ascii="Arial" w:hAnsi="Arial" w:cs="Arial"/>
        </w:rPr>
        <w:t>Th</w:t>
      </w:r>
      <w:r w:rsidR="00442074" w:rsidRPr="00C8650C">
        <w:rPr>
          <w:rFonts w:ascii="Arial" w:hAnsi="Arial" w:cs="Arial"/>
        </w:rPr>
        <w:t xml:space="preserve">ere are ways you can borrow these if you plan ahead.  For example, Washington State University has a free equipment loan program (they do have spectrophotometers).  Here is the link - </w:t>
      </w:r>
      <w:hyperlink r:id="rId8" w:history="1">
        <w:r w:rsidR="00442074" w:rsidRPr="00C8650C">
          <w:rPr>
            <w:rFonts w:ascii="Arial" w:hAnsi="Arial" w:cs="Arial"/>
            <w:color w:val="001980"/>
          </w:rPr>
          <w:t>http://www.sci.wsu.edu/bio/hhp/index.html</w:t>
        </w:r>
      </w:hyperlink>
      <w:r>
        <w:rPr>
          <w:rFonts w:ascii="Arial" w:hAnsi="Arial" w:cs="Arial"/>
          <w:color w:val="001980"/>
        </w:rPr>
        <w:t xml:space="preserve">.  </w:t>
      </w:r>
      <w:r w:rsidRPr="00C8650C">
        <w:rPr>
          <w:rFonts w:ascii="Arial" w:hAnsi="Arial" w:cs="Arial"/>
        </w:rPr>
        <w:t>Or you can borrow them from the ISB through SEE.</w:t>
      </w:r>
      <w:r w:rsidR="00C9139B">
        <w:rPr>
          <w:rFonts w:ascii="Arial" w:hAnsi="Arial" w:cs="Arial"/>
        </w:rPr>
        <w:t xml:space="preserve">  Contact Claudia Ludwig for more information:  </w:t>
      </w:r>
      <w:hyperlink r:id="rId9" w:history="1">
        <w:r w:rsidR="00C9139B" w:rsidRPr="006420A4">
          <w:rPr>
            <w:rStyle w:val="Hyperlink"/>
            <w:rFonts w:ascii="Arial" w:hAnsi="Arial" w:cs="Arial"/>
          </w:rPr>
          <w:t>cludwig@systemsbiology.org</w:t>
        </w:r>
      </w:hyperlink>
      <w:r w:rsidR="00C9139B">
        <w:rPr>
          <w:rFonts w:ascii="Arial" w:hAnsi="Arial" w:cs="Arial"/>
        </w:rPr>
        <w:t>.</w:t>
      </w:r>
    </w:p>
    <w:p w:rsidR="00FB32DF" w:rsidRDefault="00C9139B" w:rsidP="00C8650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proofErr w:type="spellStart"/>
      <w:r w:rsidRPr="00C9139B">
        <w:rPr>
          <w:rFonts w:ascii="Arial" w:hAnsi="Arial" w:cs="Arial"/>
        </w:rPr>
        <w:t>M</w:t>
      </w:r>
      <w:r w:rsidR="00442074" w:rsidRPr="00C9139B">
        <w:rPr>
          <w:rFonts w:ascii="Arial" w:hAnsi="Arial" w:cs="Arial"/>
        </w:rPr>
        <w:t>icrocentrifuge</w:t>
      </w:r>
      <w:proofErr w:type="spellEnd"/>
    </w:p>
    <w:p w:rsidR="00FB32DF" w:rsidRDefault="00C9139B" w:rsidP="00C8650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C9139B">
        <w:rPr>
          <w:rFonts w:ascii="Arial" w:hAnsi="Arial" w:cs="Arial"/>
        </w:rPr>
        <w:t>F</w:t>
      </w:r>
      <w:r w:rsidR="00442074" w:rsidRPr="00C9139B">
        <w:rPr>
          <w:rFonts w:ascii="Arial" w:hAnsi="Arial" w:cs="Arial"/>
        </w:rPr>
        <w:t>ull Spectrum Flood Light (must be full spectrum)</w:t>
      </w:r>
    </w:p>
    <w:p w:rsidR="00FB32DF" w:rsidRPr="00C9139B" w:rsidRDefault="00C9139B" w:rsidP="00C8650C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</w:rPr>
      </w:pPr>
      <w:r w:rsidRPr="00C9139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C9139B">
        <w:rPr>
          <w:rFonts w:ascii="Arial" w:hAnsi="Arial" w:cs="Arial"/>
        </w:rPr>
        <w:t>H</w:t>
      </w:r>
      <w:r w:rsidR="00442074" w:rsidRPr="00C9139B">
        <w:rPr>
          <w:rFonts w:ascii="Arial" w:hAnsi="Arial" w:cs="Arial"/>
        </w:rPr>
        <w:t>ome Depot sells these – specifications: PAR 38 with 90-100 watt and 1370-1500 lumens.</w:t>
      </w:r>
    </w:p>
    <w:p w:rsidR="00FB32DF" w:rsidRPr="00C8650C" w:rsidRDefault="00442074" w:rsidP="00C9139B">
      <w:pPr>
        <w:ind w:left="1800"/>
        <w:rPr>
          <w:rFonts w:ascii="Arial" w:hAnsi="Arial" w:cs="Arial"/>
        </w:rPr>
      </w:pPr>
      <w:r w:rsidRPr="00C8650C">
        <w:rPr>
          <w:rFonts w:ascii="Arial" w:hAnsi="Arial" w:cs="Arial"/>
        </w:rPr>
        <w:t xml:space="preserve">You many need multiple of these lights.  </w:t>
      </w:r>
      <w:proofErr w:type="gramStart"/>
      <w:r w:rsidRPr="00C8650C">
        <w:rPr>
          <w:rFonts w:ascii="Arial" w:hAnsi="Arial" w:cs="Arial"/>
        </w:rPr>
        <w:t xml:space="preserve">The better your light placement, the better the </w:t>
      </w:r>
      <w:proofErr w:type="spellStart"/>
      <w:r w:rsidRPr="00C8650C">
        <w:rPr>
          <w:rFonts w:ascii="Arial" w:hAnsi="Arial" w:cs="Arial"/>
        </w:rPr>
        <w:t>bR</w:t>
      </w:r>
      <w:proofErr w:type="spellEnd"/>
      <w:r w:rsidRPr="00C8650C">
        <w:rPr>
          <w:rFonts w:ascii="Arial" w:hAnsi="Arial" w:cs="Arial"/>
        </w:rPr>
        <w:t xml:space="preserve"> production.</w:t>
      </w:r>
      <w:proofErr w:type="gramEnd"/>
    </w:p>
    <w:p w:rsidR="00FB32DF" w:rsidRDefault="00442074" w:rsidP="00C9139B">
      <w:pPr>
        <w:spacing w:after="0"/>
        <w:rPr>
          <w:rFonts w:ascii="Arial" w:hAnsi="Arial" w:cs="Arial"/>
        </w:rPr>
      </w:pPr>
      <w:r w:rsidRPr="00C8650C">
        <w:rPr>
          <w:rFonts w:ascii="Arial" w:hAnsi="Arial" w:cs="Arial"/>
        </w:rPr>
        <w:t>Suggested Equipment:</w:t>
      </w:r>
    </w:p>
    <w:p w:rsidR="00FB32DF" w:rsidRDefault="00C9139B" w:rsidP="00C9139B">
      <w:pPr>
        <w:pStyle w:val="ListParagraph"/>
        <w:numPr>
          <w:ilvl w:val="0"/>
          <w:numId w:val="12"/>
        </w:numPr>
        <w:tabs>
          <w:tab w:val="clear" w:pos="360"/>
          <w:tab w:val="num" w:pos="1440"/>
        </w:tabs>
        <w:spacing w:after="0"/>
        <w:ind w:left="1440" w:hanging="720"/>
        <w:rPr>
          <w:rFonts w:ascii="Arial" w:hAnsi="Arial" w:cs="Arial"/>
        </w:rPr>
      </w:pPr>
      <w:r w:rsidRPr="00C9139B">
        <w:rPr>
          <w:rFonts w:ascii="Arial" w:hAnsi="Arial" w:cs="Arial"/>
        </w:rPr>
        <w:t>C</w:t>
      </w:r>
      <w:r w:rsidR="00442074" w:rsidRPr="00C9139B">
        <w:rPr>
          <w:rFonts w:ascii="Arial" w:hAnsi="Arial" w:cs="Arial"/>
        </w:rPr>
        <w:t>omputers</w:t>
      </w:r>
      <w:r w:rsidRPr="00C9139B">
        <w:rPr>
          <w:rFonts w:ascii="Arial" w:hAnsi="Arial" w:cs="Arial"/>
        </w:rPr>
        <w:t>:  I</w:t>
      </w:r>
      <w:r w:rsidR="00442074" w:rsidRPr="00C9139B">
        <w:rPr>
          <w:rFonts w:ascii="Arial" w:hAnsi="Arial" w:cs="Arial"/>
        </w:rPr>
        <w:t>f you don’t have access to</w:t>
      </w:r>
      <w:r>
        <w:rPr>
          <w:rFonts w:ascii="Arial" w:hAnsi="Arial" w:cs="Arial"/>
        </w:rPr>
        <w:t xml:space="preserve"> student</w:t>
      </w:r>
      <w:r w:rsidR="00442074" w:rsidRPr="00C9139B">
        <w:rPr>
          <w:rFonts w:ascii="Arial" w:hAnsi="Arial" w:cs="Arial"/>
        </w:rPr>
        <w:t xml:space="preserve"> computers, you will need to print references for </w:t>
      </w:r>
      <w:r>
        <w:rPr>
          <w:rFonts w:ascii="Arial" w:hAnsi="Arial" w:cs="Arial"/>
        </w:rPr>
        <w:t xml:space="preserve">Lesson 1.  Additionally for </w:t>
      </w:r>
      <w:r w:rsidR="00442074" w:rsidRPr="00C9139B">
        <w:rPr>
          <w:rFonts w:ascii="Arial" w:hAnsi="Arial" w:cs="Arial"/>
        </w:rPr>
        <w:t>Lesson 4</w:t>
      </w:r>
      <w:r>
        <w:rPr>
          <w:rFonts w:ascii="Arial" w:hAnsi="Arial" w:cs="Arial"/>
        </w:rPr>
        <w:t>’s Purple Membrane (</w:t>
      </w:r>
      <w:proofErr w:type="spellStart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 xml:space="preserve">) simulation, the </w:t>
      </w:r>
      <w:r w:rsidR="00442074" w:rsidRPr="00C9139B">
        <w:rPr>
          <w:rFonts w:ascii="Arial" w:hAnsi="Arial" w:cs="Arial"/>
        </w:rPr>
        <w:t>teacher will need to use a demo computer.</w:t>
      </w:r>
    </w:p>
    <w:p w:rsidR="00C9139B" w:rsidRDefault="00C9139B" w:rsidP="00C9139B">
      <w:pPr>
        <w:pStyle w:val="ListParagraph"/>
        <w:numPr>
          <w:ilvl w:val="0"/>
          <w:numId w:val="12"/>
        </w:numPr>
        <w:tabs>
          <w:tab w:val="clear" w:pos="360"/>
          <w:tab w:val="num" w:pos="1440"/>
        </w:tabs>
        <w:spacing w:after="0"/>
        <w:ind w:left="1440" w:hanging="720"/>
        <w:rPr>
          <w:rFonts w:ascii="Arial" w:hAnsi="Arial" w:cs="Arial"/>
        </w:rPr>
      </w:pPr>
      <w:r w:rsidRPr="00C9139B">
        <w:rPr>
          <w:rFonts w:ascii="Arial" w:hAnsi="Arial" w:cs="Arial"/>
        </w:rPr>
        <w:t>A</w:t>
      </w:r>
      <w:r w:rsidR="00442074" w:rsidRPr="00C9139B">
        <w:rPr>
          <w:rFonts w:ascii="Arial" w:hAnsi="Arial" w:cs="Arial"/>
        </w:rPr>
        <w:t xml:space="preserve">gitating Incubator to use Falcon tubes OR stir stations to accommodate 4, 50 mL flasks per group. </w:t>
      </w:r>
    </w:p>
    <w:p w:rsidR="00FB32DF" w:rsidRDefault="00C9139B" w:rsidP="00C9139B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42074" w:rsidRPr="00C9139B">
        <w:rPr>
          <w:rFonts w:ascii="Arial" w:hAnsi="Arial" w:cs="Arial"/>
        </w:rPr>
        <w:t>If your incubator doesn’t agitate – you can use small flasks with stir bars.</w:t>
      </w:r>
    </w:p>
    <w:p w:rsidR="00FB32DF" w:rsidRDefault="00C9139B" w:rsidP="00C9139B">
      <w:pPr>
        <w:pStyle w:val="ListParagraph"/>
        <w:numPr>
          <w:ilvl w:val="1"/>
          <w:numId w:val="12"/>
        </w:numPr>
        <w:spacing w:after="0"/>
        <w:ind w:left="1800" w:hanging="360"/>
        <w:rPr>
          <w:rFonts w:ascii="Arial" w:hAnsi="Arial" w:cs="Arial"/>
        </w:rPr>
      </w:pPr>
      <w:r w:rsidRPr="00C9139B">
        <w:rPr>
          <w:rFonts w:ascii="Arial" w:hAnsi="Arial" w:cs="Arial"/>
        </w:rPr>
        <w:t xml:space="preserve">    I</w:t>
      </w:r>
      <w:r w:rsidR="00442074" w:rsidRPr="00C9139B">
        <w:rPr>
          <w:rFonts w:ascii="Arial" w:hAnsi="Arial" w:cs="Arial"/>
        </w:rPr>
        <w:t xml:space="preserve">f you have an incubator but no stir stations, periodically agitate the containers manually and increase the incubation time 24-48 hours.  Use 1.5mL (full </w:t>
      </w:r>
      <w:proofErr w:type="spellStart"/>
      <w:r w:rsidR="00442074" w:rsidRPr="00C9139B">
        <w:rPr>
          <w:rFonts w:ascii="Arial" w:hAnsi="Arial" w:cs="Arial"/>
        </w:rPr>
        <w:t>microcentrifuge</w:t>
      </w:r>
      <w:proofErr w:type="spellEnd"/>
      <w:r w:rsidR="00442074" w:rsidRPr="00C9139B">
        <w:rPr>
          <w:rFonts w:ascii="Arial" w:hAnsi="Arial" w:cs="Arial"/>
        </w:rPr>
        <w:t xml:space="preserve"> tube) sample when you spin down the cells.</w:t>
      </w:r>
    </w:p>
    <w:p w:rsidR="00FB32DF" w:rsidRDefault="00C9139B" w:rsidP="00C8650C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 w:rsidRPr="00C9139B">
        <w:rPr>
          <w:rFonts w:ascii="Arial" w:hAnsi="Arial" w:cs="Arial"/>
        </w:rPr>
        <w:t xml:space="preserve">     If</w:t>
      </w:r>
      <w:r w:rsidR="00442074" w:rsidRPr="00C9139B">
        <w:rPr>
          <w:rFonts w:ascii="Arial" w:hAnsi="Arial" w:cs="Arial"/>
        </w:rPr>
        <w:t xml:space="preserve"> you do not have an incubator – you can use stir stations AND the light for heat.</w:t>
      </w:r>
    </w:p>
    <w:p w:rsidR="00FB32DF" w:rsidRPr="00C9139B" w:rsidRDefault="00C9139B" w:rsidP="00C9139B">
      <w:pPr>
        <w:pStyle w:val="ListParagraph"/>
        <w:numPr>
          <w:ilvl w:val="1"/>
          <w:numId w:val="12"/>
        </w:numPr>
        <w:spacing w:after="0"/>
        <w:ind w:left="1890" w:hanging="450"/>
        <w:rPr>
          <w:rFonts w:ascii="Arial" w:hAnsi="Arial" w:cs="Arial"/>
        </w:rPr>
      </w:pPr>
      <w:r w:rsidRPr="00C9139B">
        <w:rPr>
          <w:rFonts w:ascii="Arial" w:hAnsi="Arial" w:cs="Arial"/>
        </w:rPr>
        <w:t xml:space="preserve">     If</w:t>
      </w:r>
      <w:r w:rsidR="00442074" w:rsidRPr="00C9139B">
        <w:rPr>
          <w:rFonts w:ascii="Arial" w:hAnsi="Arial" w:cs="Arial"/>
        </w:rPr>
        <w:t xml:space="preserve"> all you have are lights, agitate the sample containers a couple of times a day and you will still get results.  Plan on letting the samples grow 1 or 2 more days.</w:t>
      </w:r>
      <w:r>
        <w:rPr>
          <w:rFonts w:ascii="Arial" w:hAnsi="Arial" w:cs="Arial"/>
        </w:rPr>
        <w:t xml:space="preserve">  </w:t>
      </w:r>
      <w:r w:rsidR="00442074" w:rsidRPr="00C9139B">
        <w:rPr>
          <w:rFonts w:ascii="Arial" w:hAnsi="Arial" w:cs="Arial"/>
        </w:rPr>
        <w:t xml:space="preserve">If you can’t see a clear difference in light vs. dark after spinning down the cells, try using 500μL instead of 1.5mL when you spin down the cells.  </w:t>
      </w:r>
      <w:r>
        <w:rPr>
          <w:rFonts w:ascii="Arial" w:hAnsi="Arial" w:cs="Arial"/>
        </w:rPr>
        <w:t>A</w:t>
      </w:r>
      <w:r w:rsidR="00442074" w:rsidRPr="00C9139B">
        <w:rPr>
          <w:rFonts w:ascii="Arial" w:hAnsi="Arial" w:cs="Arial"/>
        </w:rPr>
        <w:t xml:space="preserve">gitation increases the growth rate so this can actually cause the samples to appear a darker color than they actually are.  </w:t>
      </w:r>
    </w:p>
    <w:p w:rsidR="00C9139B" w:rsidRDefault="00C9139B" w:rsidP="00C9139B">
      <w:pPr>
        <w:spacing w:after="0"/>
        <w:rPr>
          <w:rFonts w:ascii="Arial" w:hAnsi="Arial" w:cs="Arial"/>
        </w:rPr>
      </w:pPr>
    </w:p>
    <w:p w:rsidR="00FB32DF" w:rsidRPr="00C8650C" w:rsidRDefault="00442074" w:rsidP="00C8650C">
      <w:pPr>
        <w:rPr>
          <w:rFonts w:ascii="Arial" w:hAnsi="Arial" w:cs="Arial"/>
        </w:rPr>
      </w:pPr>
      <w:r w:rsidRPr="00C8650C">
        <w:rPr>
          <w:rFonts w:ascii="Arial" w:hAnsi="Arial" w:cs="Arial"/>
        </w:rPr>
        <w:t>Overall</w:t>
      </w:r>
      <w:r w:rsidR="00C9139B">
        <w:rPr>
          <w:rFonts w:ascii="Arial" w:hAnsi="Arial" w:cs="Arial"/>
        </w:rPr>
        <w:t xml:space="preserve"> Module and </w:t>
      </w:r>
      <w:r w:rsidRPr="00C8650C">
        <w:rPr>
          <w:rFonts w:ascii="Arial" w:hAnsi="Arial" w:cs="Arial"/>
        </w:rPr>
        <w:t>Lesson Timeline:</w:t>
      </w:r>
    </w:p>
    <w:tbl>
      <w:tblPr>
        <w:tblW w:w="0" w:type="auto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68"/>
        <w:gridCol w:w="1799"/>
        <w:gridCol w:w="6408"/>
      </w:tblGrid>
      <w:tr w:rsidR="00FB32DF" w:rsidRPr="00C8650C">
        <w:trPr>
          <w:cantSplit/>
          <w:trHeight w:val="52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Lesson #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# of 50 min Class Periods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Timing Notes</w:t>
            </w:r>
          </w:p>
        </w:tc>
      </w:tr>
      <w:tr w:rsidR="00FB32DF" w:rsidRPr="00C8650C">
        <w:trPr>
          <w:cantSplit/>
          <w:trHeight w:val="78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1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This lesson could be made a homework assignment if the teacher only has time to give pre-assessment and introduce module.</w:t>
            </w:r>
          </w:p>
        </w:tc>
      </w:tr>
      <w:tr w:rsidR="00FB32DF" w:rsidRPr="00C8650C">
        <w:trPr>
          <w:cantSplit/>
          <w:trHeight w:val="104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3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 xml:space="preserve">Lab needs to have incubation time of 72 hrs.  Easiest way to get this is if the students set-up their experiments and start their incubations on a Friday.  This means ~72 </w:t>
            </w:r>
            <w:proofErr w:type="spellStart"/>
            <w:r w:rsidRPr="00C8650C">
              <w:rPr>
                <w:rFonts w:ascii="Arial" w:hAnsi="Arial" w:cs="Arial"/>
              </w:rPr>
              <w:t>hrs</w:t>
            </w:r>
            <w:proofErr w:type="spellEnd"/>
            <w:r w:rsidRPr="00C8650C">
              <w:rPr>
                <w:rFonts w:ascii="Arial" w:hAnsi="Arial" w:cs="Arial"/>
              </w:rPr>
              <w:t xml:space="preserve"> will have passed before they see you Monday.</w:t>
            </w:r>
          </w:p>
        </w:tc>
      </w:tr>
      <w:tr w:rsidR="00FB32DF" w:rsidRPr="00C8650C">
        <w:trPr>
          <w:cantSplit/>
          <w:trHeight w:val="52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2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The beginning of this lesson is the best point at which to put any review required, based on pre-assessment.</w:t>
            </w:r>
          </w:p>
        </w:tc>
      </w:tr>
      <w:tr w:rsidR="00FB32DF" w:rsidRPr="00C8650C">
        <w:trPr>
          <w:cantSplit/>
          <w:trHeight w:val="456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3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 xml:space="preserve">If you only have 1 centrifuge and/or one Spec, you will need to spread out your students’ result gathering (so you don’t have 7 odd groups waiting around for 1 group to get done).  This is probably best accommodated either scheduling students to come after class OR during the first part of Lesson 3.  </w:t>
            </w:r>
          </w:p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NOTE – if you do plan to have your students take their results at different times, you must stop everyone’s experiment at one time (to allow groups to combine/compare data).  This can be done by just putting your sample on a lab bench (at room temp – OK as long as samples don’t sit longer than 24hrs).  If the students will take longer than a 24hr window to get data, put sample in the refrigerator.</w:t>
            </w:r>
          </w:p>
          <w:p w:rsidR="00FB32DF" w:rsidRPr="00C8650C" w:rsidRDefault="0044207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Depending on teacher’s plan for student presentations, more time may be needed.</w:t>
            </w:r>
          </w:p>
        </w:tc>
      </w:tr>
    </w:tbl>
    <w:p w:rsidR="00FB32DF" w:rsidRPr="00C8650C" w:rsidRDefault="00442074" w:rsidP="00C8650C">
      <w:pPr>
        <w:rPr>
          <w:rFonts w:ascii="Arial" w:hAnsi="Arial" w:cs="Arial"/>
        </w:rPr>
      </w:pPr>
      <w:r w:rsidRPr="00C8650C">
        <w:rPr>
          <w:rFonts w:ascii="Arial" w:hAnsi="Arial" w:cs="Arial"/>
        </w:rPr>
        <w:t>This timeline is the quickest timeline, teacher may require more time in certain areas.</w:t>
      </w:r>
    </w:p>
    <w:p w:rsidR="00FB32DF" w:rsidRPr="00C9139B" w:rsidRDefault="00442074" w:rsidP="00C8650C">
      <w:pPr>
        <w:rPr>
          <w:rFonts w:ascii="Arial" w:hAnsi="Arial" w:cs="Arial"/>
          <w:b/>
        </w:rPr>
      </w:pPr>
      <w:r w:rsidRPr="00C9139B">
        <w:rPr>
          <w:rFonts w:ascii="Arial" w:hAnsi="Arial" w:cs="Arial"/>
          <w:b/>
        </w:rPr>
        <w:t>Recipe for makin</w:t>
      </w:r>
      <w:bookmarkStart w:id="0" w:name="_GoBack"/>
      <w:bookmarkEnd w:id="0"/>
      <w:r w:rsidRPr="00C9139B">
        <w:rPr>
          <w:rFonts w:ascii="Arial" w:hAnsi="Arial" w:cs="Arial"/>
          <w:b/>
        </w:rPr>
        <w:t>g your own complete media (CM)</w:t>
      </w:r>
      <w:r w:rsidR="006549CC">
        <w:rPr>
          <w:rFonts w:ascii="Arial" w:hAnsi="Arial" w:cs="Arial"/>
          <w:b/>
        </w:rPr>
        <w:t xml:space="preserve"> for optimal </w:t>
      </w:r>
      <w:r w:rsidR="006549CC" w:rsidRPr="006549CC">
        <w:rPr>
          <w:rFonts w:ascii="Arial" w:hAnsi="Arial" w:cs="Arial"/>
          <w:b/>
          <w:i/>
        </w:rPr>
        <w:t>Halobacterium</w:t>
      </w:r>
      <w:r w:rsidR="006549CC">
        <w:rPr>
          <w:rFonts w:ascii="Arial" w:hAnsi="Arial" w:cs="Arial"/>
          <w:b/>
        </w:rPr>
        <w:t xml:space="preserve"> growth</w:t>
      </w:r>
    </w:p>
    <w:p w:rsidR="00FB32DF" w:rsidRDefault="00442074" w:rsidP="00C8650C">
      <w:pPr>
        <w:rPr>
          <w:rFonts w:ascii="Arial" w:hAnsi="Arial" w:cs="Arial"/>
        </w:rPr>
      </w:pPr>
      <w:r w:rsidRPr="00C8650C">
        <w:rPr>
          <w:rFonts w:ascii="Arial" w:hAnsi="Arial" w:cs="Arial"/>
        </w:rPr>
        <w:t>For 1 liter of 4.3M stock solution, mass the following and place in a 1 liter container.  Then add deionized (or distilled) water to make 1 liter.  This is almost saturated with salt so will take a while to dissolve. Also, the peptone will clump and stick so will need to be stirred.   Using a stir station will help.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E61FB4" w:rsidTr="00E61FB4">
        <w:tc>
          <w:tcPr>
            <w:tcW w:w="5508" w:type="dxa"/>
          </w:tcPr>
          <w:p w:rsidR="00E61FB4" w:rsidRPr="00E61FB4" w:rsidRDefault="00E61FB4" w:rsidP="00C8650C">
            <w:pPr>
              <w:rPr>
                <w:rFonts w:ascii="Arial" w:hAnsi="Arial" w:cs="Arial"/>
                <w:b/>
              </w:rPr>
            </w:pPr>
            <w:r w:rsidRPr="00E61FB4">
              <w:rPr>
                <w:rFonts w:ascii="Arial" w:hAnsi="Arial" w:cs="Arial"/>
                <w:b/>
              </w:rPr>
              <w:t>Chemical</w:t>
            </w:r>
          </w:p>
        </w:tc>
        <w:tc>
          <w:tcPr>
            <w:tcW w:w="5508" w:type="dxa"/>
          </w:tcPr>
          <w:p w:rsidR="00E61FB4" w:rsidRPr="00E61FB4" w:rsidRDefault="00E61FB4" w:rsidP="00C8650C">
            <w:pPr>
              <w:rPr>
                <w:rFonts w:ascii="Arial" w:hAnsi="Arial" w:cs="Arial"/>
                <w:b/>
              </w:rPr>
            </w:pPr>
            <w:r w:rsidRPr="00E61FB4">
              <w:rPr>
                <w:rFonts w:ascii="Arial" w:hAnsi="Arial" w:cs="Arial"/>
                <w:b/>
              </w:rPr>
              <w:t>Amount</w:t>
            </w:r>
          </w:p>
        </w:tc>
      </w:tr>
      <w:tr w:rsidR="00E61FB4" w:rsidTr="00E61FB4"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salt (</w:t>
            </w:r>
            <w:proofErr w:type="spellStart"/>
            <w:r w:rsidRPr="00C8650C">
              <w:rPr>
                <w:rFonts w:ascii="Arial" w:hAnsi="Arial" w:cs="Arial"/>
              </w:rPr>
              <w:t>NaCl</w:t>
            </w:r>
            <w:proofErr w:type="spellEnd"/>
            <w:r w:rsidRPr="00C8650C">
              <w:rPr>
                <w:rFonts w:ascii="Arial" w:hAnsi="Arial" w:cs="Arial"/>
              </w:rPr>
              <w:t>)</w:t>
            </w:r>
            <w:r w:rsidRPr="00C8650C">
              <w:rPr>
                <w:rFonts w:ascii="Arial" w:hAnsi="Arial" w:cs="Arial"/>
              </w:rPr>
              <w:tab/>
            </w:r>
          </w:p>
        </w:tc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250g</w:t>
            </w:r>
          </w:p>
        </w:tc>
      </w:tr>
      <w:tr w:rsidR="00E61FB4" w:rsidTr="00E61FB4"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C8650C">
              <w:rPr>
                <w:rFonts w:ascii="Arial" w:hAnsi="Arial" w:cs="Arial"/>
              </w:rPr>
              <w:t xml:space="preserve">agnesium sulfate </w:t>
            </w:r>
            <w:proofErr w:type="spellStart"/>
            <w:r w:rsidRPr="00C8650C">
              <w:rPr>
                <w:rFonts w:ascii="Arial" w:hAnsi="Arial" w:cs="Arial"/>
              </w:rPr>
              <w:t>heptahydrate</w:t>
            </w:r>
            <w:proofErr w:type="spellEnd"/>
            <w:r w:rsidRPr="00C8650C">
              <w:rPr>
                <w:rFonts w:ascii="Arial" w:hAnsi="Arial" w:cs="Arial"/>
              </w:rPr>
              <w:t xml:space="preserve"> (MgSO</w:t>
            </w:r>
            <w:r w:rsidRPr="00C8650C">
              <w:rPr>
                <w:rFonts w:ascii="Arial" w:hAnsi="Arial" w:cs="Arial"/>
                <w:sz w:val="20"/>
              </w:rPr>
              <w:t>4</w:t>
            </w:r>
            <w:r w:rsidRPr="00C8650C">
              <w:rPr>
                <w:rFonts w:ascii="Arial" w:hAnsi="Arial" w:cs="Arial"/>
                <w:position w:val="6"/>
                <w:sz w:val="20"/>
              </w:rPr>
              <w:t>.</w:t>
            </w:r>
            <w:r w:rsidRPr="00C8650C">
              <w:rPr>
                <w:rFonts w:ascii="Arial" w:hAnsi="Arial" w:cs="Arial"/>
              </w:rPr>
              <w:t>7H</w:t>
            </w:r>
            <w:r w:rsidRPr="00C8650C">
              <w:rPr>
                <w:rFonts w:ascii="Arial" w:hAnsi="Arial" w:cs="Arial"/>
                <w:sz w:val="16"/>
              </w:rPr>
              <w:t>2</w:t>
            </w:r>
            <w:r w:rsidRPr="00C8650C">
              <w:rPr>
                <w:rFonts w:ascii="Arial" w:hAnsi="Arial" w:cs="Arial"/>
              </w:rPr>
              <w:t>O)</w:t>
            </w:r>
          </w:p>
        </w:tc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20g</w:t>
            </w:r>
          </w:p>
        </w:tc>
      </w:tr>
      <w:tr w:rsidR="00E61FB4" w:rsidTr="00E61FB4"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8650C">
              <w:rPr>
                <w:rFonts w:ascii="Arial" w:hAnsi="Arial" w:cs="Arial"/>
              </w:rPr>
              <w:t>otassium chloride</w:t>
            </w:r>
            <w:r w:rsidRPr="00C8650C">
              <w:rPr>
                <w:rFonts w:ascii="Arial" w:hAnsi="Arial" w:cs="Arial"/>
              </w:rPr>
              <w:tab/>
              <w:t>(</w:t>
            </w:r>
            <w:proofErr w:type="spellStart"/>
            <w:r w:rsidRPr="00C8650C">
              <w:rPr>
                <w:rFonts w:ascii="Arial" w:hAnsi="Arial" w:cs="Arial"/>
              </w:rPr>
              <w:t>KCl</w:t>
            </w:r>
            <w:proofErr w:type="spellEnd"/>
            <w:r w:rsidRPr="00C8650C">
              <w:rPr>
                <w:rFonts w:ascii="Arial" w:hAnsi="Arial" w:cs="Arial"/>
              </w:rPr>
              <w:t>)</w:t>
            </w:r>
          </w:p>
        </w:tc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2g</w:t>
            </w:r>
          </w:p>
        </w:tc>
      </w:tr>
      <w:tr w:rsidR="00E61FB4" w:rsidTr="00E61FB4"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C8650C">
              <w:rPr>
                <w:rFonts w:ascii="Arial" w:hAnsi="Arial" w:cs="Arial"/>
              </w:rPr>
              <w:t xml:space="preserve">odium citrate </w:t>
            </w:r>
            <w:proofErr w:type="spellStart"/>
            <w:r w:rsidRPr="00C8650C">
              <w:rPr>
                <w:rFonts w:ascii="Arial" w:hAnsi="Arial" w:cs="Arial"/>
              </w:rPr>
              <w:t>dihydrate</w:t>
            </w:r>
            <w:proofErr w:type="spellEnd"/>
            <w:r w:rsidRPr="00C8650C">
              <w:rPr>
                <w:rFonts w:ascii="Arial" w:hAnsi="Arial" w:cs="Arial"/>
              </w:rPr>
              <w:t xml:space="preserve"> (Na</w:t>
            </w:r>
            <w:r w:rsidRPr="00C8650C">
              <w:rPr>
                <w:rFonts w:ascii="Arial" w:hAnsi="Arial" w:cs="Arial"/>
                <w:vertAlign w:val="subscript"/>
              </w:rPr>
              <w:t>3</w:t>
            </w:r>
            <w:r w:rsidRPr="00C8650C">
              <w:rPr>
                <w:rFonts w:ascii="Arial" w:hAnsi="Arial" w:cs="Arial"/>
              </w:rPr>
              <w:t>C</w:t>
            </w:r>
            <w:r w:rsidRPr="00C8650C">
              <w:rPr>
                <w:rFonts w:ascii="Arial" w:hAnsi="Arial" w:cs="Arial"/>
                <w:vertAlign w:val="subscript"/>
              </w:rPr>
              <w:t>6</w:t>
            </w:r>
            <w:r w:rsidRPr="00C8650C">
              <w:rPr>
                <w:rFonts w:ascii="Arial" w:hAnsi="Arial" w:cs="Arial"/>
              </w:rPr>
              <w:t>H</w:t>
            </w:r>
            <w:r w:rsidRPr="00C8650C">
              <w:rPr>
                <w:rFonts w:ascii="Arial" w:hAnsi="Arial" w:cs="Arial"/>
                <w:vertAlign w:val="subscript"/>
              </w:rPr>
              <w:t>5</w:t>
            </w:r>
            <w:r w:rsidRPr="00C8650C">
              <w:rPr>
                <w:rFonts w:ascii="Arial" w:hAnsi="Arial" w:cs="Arial"/>
              </w:rPr>
              <w:t>O</w:t>
            </w:r>
            <w:r w:rsidRPr="00C8650C">
              <w:rPr>
                <w:rFonts w:ascii="Arial" w:hAnsi="Arial" w:cs="Arial"/>
                <w:vertAlign w:val="subscript"/>
              </w:rPr>
              <w:t>7</w:t>
            </w:r>
            <w:r w:rsidRPr="00C8650C">
              <w:rPr>
                <w:rFonts w:ascii="Arial" w:hAnsi="Arial" w:cs="Arial"/>
              </w:rPr>
              <w:t>·2H</w:t>
            </w:r>
            <w:r w:rsidRPr="00C8650C">
              <w:rPr>
                <w:rFonts w:ascii="Arial" w:hAnsi="Arial" w:cs="Arial"/>
                <w:vertAlign w:val="subscript"/>
              </w:rPr>
              <w:t>2</w:t>
            </w:r>
            <w:r w:rsidRPr="00C8650C">
              <w:rPr>
                <w:rFonts w:ascii="Arial" w:hAnsi="Arial" w:cs="Arial"/>
              </w:rPr>
              <w:t>O</w:t>
            </w:r>
            <w:r w:rsidRPr="00C8650C">
              <w:rPr>
                <w:rFonts w:ascii="Arial" w:hAnsi="Arial" w:cs="Arial"/>
                <w:sz w:val="24"/>
              </w:rPr>
              <w:t>)</w:t>
            </w:r>
            <w:r w:rsidRPr="00C8650C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3g</w:t>
            </w:r>
          </w:p>
        </w:tc>
      </w:tr>
      <w:tr w:rsidR="00E61FB4" w:rsidTr="00E61FB4"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8650C">
              <w:rPr>
                <w:rFonts w:ascii="Arial" w:hAnsi="Arial" w:cs="Arial"/>
              </w:rPr>
              <w:t xml:space="preserve">eptone </w:t>
            </w:r>
            <w:proofErr w:type="spellStart"/>
            <w:r w:rsidRPr="00C8650C">
              <w:rPr>
                <w:rFonts w:ascii="Arial" w:hAnsi="Arial" w:cs="Arial"/>
              </w:rPr>
              <w:t>oxoid</w:t>
            </w:r>
            <w:proofErr w:type="spellEnd"/>
            <w:r w:rsidRPr="00C8650C">
              <w:rPr>
                <w:rFonts w:ascii="Arial" w:hAnsi="Arial" w:cs="Arial"/>
              </w:rPr>
              <w:t xml:space="preserve"> (neutralized bacterial</w:t>
            </w:r>
            <w:r>
              <w:rPr>
                <w:rFonts w:ascii="Arial" w:hAnsi="Arial" w:cs="Arial"/>
              </w:rPr>
              <w:t xml:space="preserve"> amino acids</w:t>
            </w:r>
            <w:r w:rsidRPr="00C8650C">
              <w:rPr>
                <w:rFonts w:ascii="Arial" w:hAnsi="Arial" w:cs="Arial"/>
              </w:rPr>
              <w:t>)</w:t>
            </w:r>
          </w:p>
        </w:tc>
        <w:tc>
          <w:tcPr>
            <w:tcW w:w="5508" w:type="dxa"/>
          </w:tcPr>
          <w:p w:rsidR="00E61FB4" w:rsidRDefault="00E61FB4" w:rsidP="00C8650C">
            <w:pPr>
              <w:rPr>
                <w:rFonts w:ascii="Arial" w:hAnsi="Arial" w:cs="Arial"/>
              </w:rPr>
            </w:pPr>
            <w:r w:rsidRPr="00C8650C">
              <w:rPr>
                <w:rFonts w:ascii="Arial" w:hAnsi="Arial" w:cs="Arial"/>
              </w:rPr>
              <w:t>10g</w:t>
            </w:r>
          </w:p>
        </w:tc>
      </w:tr>
    </w:tbl>
    <w:p w:rsidR="00FB32DF" w:rsidRPr="00C8650C" w:rsidRDefault="00E61FB4" w:rsidP="00C8650C">
      <w:pPr>
        <w:rPr>
          <w:rFonts w:ascii="Arial" w:hAnsi="Arial" w:cs="Arial"/>
        </w:rPr>
      </w:pPr>
      <w:r>
        <w:rPr>
          <w:rFonts w:ascii="Arial" w:hAnsi="Arial" w:cs="Arial"/>
        </w:rPr>
        <w:t>Reminder</w:t>
      </w:r>
      <w:r w:rsidR="00442074" w:rsidRPr="00C8650C">
        <w:rPr>
          <w:rFonts w:ascii="Arial" w:hAnsi="Arial" w:cs="Arial"/>
        </w:rPr>
        <w:t>:  when making solutions, the ingredients take up space so the solvent (water) is always added last</w:t>
      </w:r>
      <w:r>
        <w:rPr>
          <w:rFonts w:ascii="Arial" w:hAnsi="Arial" w:cs="Arial"/>
        </w:rPr>
        <w:t xml:space="preserve">.  Final total volume should be measured to ensure 1.0L after all ingredients are in solution.  </w:t>
      </w:r>
    </w:p>
    <w:p w:rsidR="00FB32DF" w:rsidRPr="00C8650C" w:rsidRDefault="00442074" w:rsidP="00C8650C">
      <w:pPr>
        <w:rPr>
          <w:rFonts w:ascii="Arial" w:hAnsi="Arial" w:cs="Arial"/>
        </w:rPr>
      </w:pPr>
      <w:r w:rsidRPr="00C8650C">
        <w:rPr>
          <w:rFonts w:ascii="Arial" w:hAnsi="Arial" w:cs="Arial"/>
        </w:rPr>
        <w:t>*See Teacher Lab Hints in lesson 2 for more detail.</w:t>
      </w:r>
    </w:p>
    <w:p w:rsidR="00442074" w:rsidRPr="00C8650C" w:rsidRDefault="00442074" w:rsidP="00C8650C">
      <w:pPr>
        <w:rPr>
          <w:rFonts w:ascii="Arial" w:hAnsi="Arial" w:cs="Arial"/>
        </w:rPr>
      </w:pPr>
    </w:p>
    <w:sectPr w:rsidR="00442074" w:rsidRPr="00C8650C" w:rsidSect="00E61FB4">
      <w:headerReference w:type="default" r:id="rId10"/>
      <w:footerReference w:type="default" r:id="rId11"/>
      <w:pgSz w:w="12240" w:h="15840"/>
      <w:pgMar w:top="720" w:right="720" w:bottom="720" w:left="720" w:header="440" w:footer="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397" w:rsidRDefault="00FE5397">
      <w:pPr>
        <w:spacing w:after="0" w:line="240" w:lineRule="auto"/>
      </w:pPr>
      <w:r>
        <w:separator/>
      </w:r>
    </w:p>
  </w:endnote>
  <w:endnote w:type="continuationSeparator" w:id="0">
    <w:p w:rsidR="00FE5397" w:rsidRDefault="00FE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2DF" w:rsidRPr="00112D3C" w:rsidRDefault="00112D3C">
    <w:pPr>
      <w:pStyle w:val="FreeFormA"/>
      <w:rPr>
        <w:rFonts w:ascii="Arial" w:eastAsia="Times New Roman" w:hAnsi="Arial" w:cs="Arial"/>
        <w:color w:val="auto"/>
        <w:lang w:bidi="x-none"/>
      </w:rPr>
    </w:pPr>
    <w:r>
      <w:rPr>
        <w:rFonts w:ascii="Arial" w:eastAsia="Times New Roman" w:hAnsi="Arial" w:cs="Arial"/>
        <w:color w:val="auto"/>
        <w:lang w:bidi="x-none"/>
      </w:rPr>
      <w:t>Environmental Influence on Gene Networks</w:t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color w:val="auto"/>
        <w:lang w:bidi="x-none"/>
      </w:rPr>
      <w:tab/>
      <w:t xml:space="preserve">  </w:t>
    </w:r>
    <w:r>
      <w:rPr>
        <w:rFonts w:ascii="Arial" w:eastAsia="Times New Roman" w:hAnsi="Arial" w:cs="Arial"/>
        <w:color w:val="auto"/>
        <w:lang w:bidi="x-none"/>
      </w:rPr>
      <w:tab/>
    </w:r>
    <w:r>
      <w:rPr>
        <w:rFonts w:ascii="Arial" w:eastAsia="Times New Roman" w:hAnsi="Arial" w:cs="Arial"/>
        <w:noProof/>
        <w:color w:val="auto"/>
      </w:rPr>
      <w:drawing>
        <wp:inline distT="0" distB="0" distL="0" distR="0" wp14:anchorId="66301134" wp14:editId="5D10EAD4">
          <wp:extent cx="1252960" cy="40957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stemsEducationLogo_midsiz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4" cy="4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397" w:rsidRDefault="00FE5397">
      <w:pPr>
        <w:spacing w:after="0" w:line="240" w:lineRule="auto"/>
      </w:pPr>
      <w:r>
        <w:separator/>
      </w:r>
    </w:p>
  </w:footnote>
  <w:footnote w:type="continuationSeparator" w:id="0">
    <w:p w:rsidR="00FE5397" w:rsidRDefault="00FE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D3C" w:rsidRPr="00112D3C" w:rsidRDefault="00112D3C" w:rsidP="00112D3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Teacher Resource</w:t>
    </w:r>
  </w:p>
  <w:p w:rsidR="00FB32DF" w:rsidRDefault="00FB32DF">
    <w:pPr>
      <w:pStyle w:val="FreeFormA"/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37CBBF2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pStyle w:val="ListParagraph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2">
    <w:nsid w:val="00000003"/>
    <w:multiLevelType w:val="multilevel"/>
    <w:tmpl w:val="894EE875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4">
    <w:nsid w:val="00000005"/>
    <w:multiLevelType w:val="multilevel"/>
    <w:tmpl w:val="894EE877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>
    <w:nsid w:val="00000007"/>
    <w:multiLevelType w:val="multilevel"/>
    <w:tmpl w:val="894EE879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>
    <w:nsid w:val="00000009"/>
    <w:multiLevelType w:val="multilevel"/>
    <w:tmpl w:val="894EE87B"/>
    <w:lvl w:ilvl="0">
      <w:numFmt w:val="bullet"/>
      <w:suff w:val="nothing"/>
      <w:lvlText w:val="·"/>
      <w:lvlJc w:val="left"/>
      <w:pPr>
        <w:ind w:left="0" w:firstLine="720"/>
      </w:pPr>
      <w:rPr>
        <w:rFonts w:hint="default"/>
        <w:color w:val="000000"/>
        <w:position w:val="0"/>
        <w:sz w:val="22"/>
      </w:rPr>
    </w:lvl>
    <w:lvl w:ilvl="1"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05"/>
    <w:rsid w:val="00112D3C"/>
    <w:rsid w:val="00442074"/>
    <w:rsid w:val="006549CC"/>
    <w:rsid w:val="00BC3105"/>
    <w:rsid w:val="00C8650C"/>
    <w:rsid w:val="00C9139B"/>
    <w:rsid w:val="00E61FB4"/>
    <w:rsid w:val="00FB32DF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styleId="ListParagraph">
    <w:name w:val="List Paragraph"/>
    <w:autoRedefine/>
    <w:qFormat/>
    <w:rsid w:val="00112D3C"/>
    <w:pPr>
      <w:numPr>
        <w:ilvl w:val="2"/>
        <w:numId w:val="1"/>
      </w:numPr>
      <w:spacing w:after="200"/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AA">
    <w:name w:val="Free Form A A"/>
    <w:rPr>
      <w:rFonts w:eastAsia="ヒラギノ角ゴ Pro W3"/>
      <w:color w:val="000000"/>
    </w:rPr>
  </w:style>
  <w:style w:type="paragraph" w:customStyle="1" w:styleId="FreeFormAAA">
    <w:name w:val="Free Form A A A"/>
    <w:rPr>
      <w:rFonts w:ascii="Lucida Grande" w:eastAsia="ヒラギノ角ゴ Pro W3" w:hAnsi="Lucida Grande"/>
      <w:color w:val="000000"/>
    </w:rPr>
  </w:style>
  <w:style w:type="paragraph" w:styleId="Header">
    <w:name w:val="header"/>
    <w:basedOn w:val="Normal"/>
    <w:link w:val="HeaderChar"/>
    <w:uiPriority w:val="99"/>
    <w:locked/>
    <w:rsid w:val="0011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11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locked/>
    <w:rsid w:val="001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D3C"/>
    <w:rPr>
      <w:rFonts w:ascii="Tahoma" w:eastAsia="ヒラギノ角ゴ Pro W3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character" w:styleId="Hyperlink">
    <w:name w:val="Hyperlink"/>
    <w:basedOn w:val="DefaultParagraphFont"/>
    <w:locked/>
    <w:rsid w:val="00C9139B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E61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autoRedefine/>
    <w:rPr>
      <w:rFonts w:eastAsia="ヒラギノ角ゴ Pro W3"/>
      <w:color w:val="000000"/>
    </w:rPr>
  </w:style>
  <w:style w:type="paragraph" w:styleId="ListParagraph">
    <w:name w:val="List Paragraph"/>
    <w:autoRedefine/>
    <w:qFormat/>
    <w:rsid w:val="00112D3C"/>
    <w:pPr>
      <w:numPr>
        <w:ilvl w:val="2"/>
        <w:numId w:val="1"/>
      </w:numPr>
      <w:spacing w:after="200"/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reeFormAA">
    <w:name w:val="Free Form A A"/>
    <w:rPr>
      <w:rFonts w:eastAsia="ヒラギノ角ゴ Pro W3"/>
      <w:color w:val="000000"/>
    </w:rPr>
  </w:style>
  <w:style w:type="paragraph" w:customStyle="1" w:styleId="FreeFormAAA">
    <w:name w:val="Free Form A A A"/>
    <w:rPr>
      <w:rFonts w:ascii="Lucida Grande" w:eastAsia="ヒラギノ角ゴ Pro W3" w:hAnsi="Lucida Grande"/>
      <w:color w:val="000000"/>
    </w:rPr>
  </w:style>
  <w:style w:type="paragraph" w:styleId="Header">
    <w:name w:val="header"/>
    <w:basedOn w:val="Normal"/>
    <w:link w:val="HeaderChar"/>
    <w:uiPriority w:val="99"/>
    <w:locked/>
    <w:rsid w:val="0011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112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paragraph" w:styleId="BalloonText">
    <w:name w:val="Balloon Text"/>
    <w:basedOn w:val="Normal"/>
    <w:link w:val="BalloonTextChar"/>
    <w:locked/>
    <w:rsid w:val="001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2D3C"/>
    <w:rPr>
      <w:rFonts w:ascii="Tahoma" w:eastAsia="ヒラギノ角ゴ Pro W3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12D3C"/>
    <w:rPr>
      <w:rFonts w:ascii="Lucida Grande" w:eastAsia="ヒラギノ角ゴ Pro W3" w:hAnsi="Lucida Grande"/>
      <w:color w:val="000000"/>
      <w:sz w:val="22"/>
      <w:szCs w:val="24"/>
    </w:rPr>
  </w:style>
  <w:style w:type="character" w:styleId="Hyperlink">
    <w:name w:val="Hyperlink"/>
    <w:basedOn w:val="DefaultParagraphFont"/>
    <w:locked/>
    <w:rsid w:val="00C9139B"/>
    <w:rPr>
      <w:color w:val="0000FF" w:themeColor="hyperlink"/>
      <w:u w:val="single"/>
    </w:rPr>
  </w:style>
  <w:style w:type="table" w:styleId="TableGrid">
    <w:name w:val="Table Grid"/>
    <w:basedOn w:val="TableNormal"/>
    <w:locked/>
    <w:rsid w:val="00E61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page.apple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udwig@systemsbiology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ISB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knickerbockerd</dc:creator>
  <cp:lastModifiedBy>cludwig</cp:lastModifiedBy>
  <cp:revision>3</cp:revision>
  <dcterms:created xsi:type="dcterms:W3CDTF">2012-08-14T18:54:00Z</dcterms:created>
  <dcterms:modified xsi:type="dcterms:W3CDTF">2012-08-14T18:55:00Z</dcterms:modified>
</cp:coreProperties>
</file>